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25701741" w:rsidR="000E06E3" w:rsidRPr="00185D40" w:rsidRDefault="00EB4E71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pirkimo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sąlygų 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9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priedas „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Aplinkos apsaugos </w:t>
      </w:r>
      <w:r w:rsidR="007417E9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kriterijai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0D5B10D2" w:rsidR="000E06E3" w:rsidRDefault="0031575A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2810C2E" w14:textId="0D65CA38" w:rsidR="00F3087B" w:rsidRPr="003B0C69" w:rsidRDefault="00F3087B" w:rsidP="00F3087B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L</w:t>
      </w:r>
      <w:r w:rsidRPr="00F3087B">
        <w:rPr>
          <w:rFonts w:ascii="Times New Roman" w:hAnsi="Times New Roman" w:cs="Times New Roman"/>
          <w:color w:val="FF0000"/>
        </w:rPr>
        <w:t>aimėjęs dalyvis tūrės pateikti atitiktį reikalavimams patvirtinančius dokumentus.</w:t>
      </w:r>
      <w:r w:rsidRPr="00F3087B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</w:rPr>
        <w:t>(</w:t>
      </w:r>
      <w:r w:rsidRPr="003B0C69">
        <w:rPr>
          <w:rFonts w:ascii="Times New Roman" w:hAnsi="Times New Roman" w:cs="Times New Roman"/>
          <w:color w:val="FF0000"/>
        </w:rPr>
        <w:t>Bus prašom</w:t>
      </w:r>
      <w:r>
        <w:rPr>
          <w:rFonts w:ascii="Times New Roman" w:hAnsi="Times New Roman" w:cs="Times New Roman"/>
          <w:color w:val="FF0000"/>
        </w:rPr>
        <w:t>a</w:t>
      </w:r>
      <w:r w:rsidRPr="003B0C69">
        <w:rPr>
          <w:rFonts w:ascii="Times New Roman" w:hAnsi="Times New Roman" w:cs="Times New Roman"/>
          <w:color w:val="FF0000"/>
        </w:rPr>
        <w:t xml:space="preserve"> tik laimėjusio dalyvio</w:t>
      </w:r>
      <w:r>
        <w:rPr>
          <w:rFonts w:ascii="Times New Roman" w:hAnsi="Times New Roman" w:cs="Times New Roman"/>
          <w:color w:val="FF0000"/>
        </w:rPr>
        <w:t>).</w:t>
      </w:r>
    </w:p>
    <w:p w14:paraId="52613A9F" w14:textId="77777777" w:rsidR="00F3087B" w:rsidRDefault="00F3087B" w:rsidP="003B0C69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FF0000"/>
        </w:rPr>
      </w:pPr>
    </w:p>
    <w:p w14:paraId="2555E83B" w14:textId="77777777" w:rsidR="00F3087B" w:rsidRDefault="00F3087B" w:rsidP="003B0C69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p w14:paraId="5A243FB9" w14:textId="7712BFD3" w:rsidR="00E96FA2" w:rsidRPr="003B0C69" w:rsidRDefault="00E96FA2" w:rsidP="003B0C69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0" w:name="_GoBack"/>
      <w:bookmarkEnd w:id="0"/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Aplinkos apsaugos kriterijų taikymo, vykdant žaliuosius pirkimus, tvarkos aprašo, patvirtinto Lietuvos Respublikos aplinkos ministro 2011 m. birželio 28 d. įsakymu Nr. D1-508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) 4.</w:t>
      </w:r>
      <w:r w:rsidR="003B0C69" w:rsidRP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1. punktą</w:t>
      </w:r>
      <w:r w:rsid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: </w:t>
      </w:r>
      <w:r w:rsidR="003B0C69" w:rsidRP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</w:t>
      </w:r>
      <w:r w:rsidR="003B0C69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:</w:t>
      </w:r>
    </w:p>
    <w:p w14:paraId="3DDA1FF2" w14:textId="77777777" w:rsidR="003B0C69" w:rsidRPr="003B0C69" w:rsidRDefault="003B0C69" w:rsidP="003B0C69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C69">
        <w:rPr>
          <w:rFonts w:ascii="Times New Roman" w:eastAsia="Times New Roman" w:hAnsi="Times New Roman" w:cs="Times New Roman"/>
          <w:sz w:val="24"/>
          <w:szCs w:val="24"/>
        </w:rPr>
        <w:t>10. M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>, M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 xml:space="preserve"> ir N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 xml:space="preserve"> kategorijų transporto priemonių įsigijimas, nuoma arba finansinė nuoma (lizingas):</w:t>
      </w:r>
    </w:p>
    <w:p w14:paraId="74086240" w14:textId="77777777" w:rsidR="003B0C69" w:rsidRPr="003B0C69" w:rsidRDefault="003B0C69" w:rsidP="003B0C69">
      <w:pPr>
        <w:spacing w:after="0" w:line="240" w:lineRule="auto"/>
        <w:ind w:firstLine="12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rt_2f9d8120ccd94a50b78eae1ec41497b6"/>
      <w:bookmarkEnd w:id="1"/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10.1. transporto priemonė 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>turi atitikti bent vieną iš šių minimalių aplinkos apsaugos kriterijų</w:t>
      </w:r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00AE1B34" w14:textId="77777777" w:rsidR="003B0C69" w:rsidRPr="003B0C69" w:rsidRDefault="003B0C69" w:rsidP="003B0C69">
      <w:pPr>
        <w:spacing w:after="0" w:line="240" w:lineRule="auto"/>
        <w:ind w:firstLine="12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rt_90f8a1c95ffb48079a195435ebdafc49"/>
      <w:bookmarkEnd w:id="2"/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10.1.1. atliekant pirkimus </w:t>
      </w:r>
      <w:r w:rsidRPr="003B0C6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Lietuvos Respublikos </w:t>
      </w:r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alternatyviųjų degalų įstatymo 15 straipsnio 1 dalyje nustatytais atvejais ir atsižvelgiant į šio įstatymo 15 straipsnio 3, 4 ir 5 dalyse pirkimams nustatytus reikalavimus, perkama transporto priemonė suprantama kaip apibrėžta Alternatyviųjų degalų įstatymo 2 straipsnio 23 ir (ar) 36 dalyse, išskyrus šio įstatymo 15 straipsnio 7 dalyje nurodytas transporto priemones;</w:t>
      </w:r>
    </w:p>
    <w:p w14:paraId="32564760" w14:textId="77777777" w:rsidR="003B0C69" w:rsidRPr="003B0C69" w:rsidRDefault="003B0C69" w:rsidP="003B0C69">
      <w:pPr>
        <w:spacing w:after="0" w:line="240" w:lineRule="auto"/>
        <w:ind w:firstLine="12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rt_c191be328cec4b7e8b3836bb2da45c46"/>
      <w:bookmarkEnd w:id="3"/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10.1.2</w:t>
      </w:r>
      <w:r w:rsidRPr="003B0C6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 kitais pirkimų atvejais transporto priemonė turi atitikti 10.1.1 papunkčio reikalavimus arba </w:t>
      </w:r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šiuos </w:t>
      </w:r>
      <w:r w:rsidRPr="003B0C6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reikalavimus, </w:t>
      </w:r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išskyrus Alternatyviųjų degalų įstatymo 15 straipsnio 7 dalyje nurodytas transporto priemones</w:t>
      </w:r>
      <w:r w:rsidRPr="003B0C6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32FCEB2B" w14:textId="77777777" w:rsidR="003B0C69" w:rsidRPr="003B0C69" w:rsidRDefault="003B0C69" w:rsidP="003B0C69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rt_6c5806860cc8422b8d4d02e477d310ea"/>
      <w:bookmarkEnd w:id="4"/>
      <w:r w:rsidRPr="003B0C69">
        <w:rPr>
          <w:rFonts w:ascii="Times New Roman" w:eastAsia="Times New Roman" w:hAnsi="Times New Roman" w:cs="Times New Roman"/>
          <w:color w:val="000000"/>
          <w:sz w:val="24"/>
          <w:szCs w:val="24"/>
        </w:rPr>
        <w:t>10.1.2.1. 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>transporto priemonės išmetamas anglies dioksido (CO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>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5“ ir „Euro 6“) su visais pakeitimais (toliau – Reglamentas (EB) Nr. 715/2007) ir jo įgyvendinimo priemonėmis, M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 xml:space="preserve"> kategorijos transporto priemonėms neturi viršyti 95 g/km, M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 xml:space="preserve"> ir N</w:t>
      </w:r>
      <w:r w:rsidRPr="003B0C69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3B0C69">
        <w:rPr>
          <w:rFonts w:ascii="Times New Roman" w:eastAsia="Times New Roman" w:hAnsi="Times New Roman" w:cs="Times New Roman"/>
          <w:sz w:val="24"/>
          <w:szCs w:val="24"/>
        </w:rPr>
        <w:t xml:space="preserve"> kategorijos transporto priemonėms neturi viršyti 147 g/km;</w:t>
      </w:r>
    </w:p>
    <w:p w14:paraId="2BD6A5EE" w14:textId="53C75BA6" w:rsidR="003B0C69" w:rsidRDefault="003B0C69" w:rsidP="003B0C69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part_96b4b153c9f8448ab7f989c300958978"/>
      <w:bookmarkEnd w:id="5"/>
      <w:r w:rsidRPr="003B0C69">
        <w:rPr>
          <w:rFonts w:ascii="Times New Roman" w:eastAsia="Times New Roman" w:hAnsi="Times New Roman" w:cs="Times New Roman"/>
          <w:sz w:val="24"/>
          <w:szCs w:val="24"/>
        </w:rPr>
        <w:t>10.1.2.2. realiomis važiavimo sąlygomis transporto priemonės išmetamų teršalų kiekis neviršija 80 procentų ribinės vertės (neatsižvelgiant į taikomą atitikties faktorių ir (ar) matavimo metodo paklaidą), nustatytos Reglamente (EB) Nr. 715/2007.</w:t>
      </w:r>
    </w:p>
    <w:p w14:paraId="2213D3EF" w14:textId="6DB64F7D" w:rsidR="003B0C69" w:rsidRDefault="003B0C69" w:rsidP="003B0C69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19AF8" w14:textId="30ABFE47" w:rsidR="00DB01BF" w:rsidRDefault="00DB01BF" w:rsidP="00DB01BF">
      <w:pPr>
        <w:rPr>
          <w:lang w:eastAsia="en-US"/>
        </w:rPr>
      </w:pPr>
    </w:p>
    <w:sectPr w:rsidR="00DB01B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E06E3"/>
    <w:rsid w:val="00185D40"/>
    <w:rsid w:val="0031575A"/>
    <w:rsid w:val="003B0C69"/>
    <w:rsid w:val="007417E9"/>
    <w:rsid w:val="008B6D75"/>
    <w:rsid w:val="0097031C"/>
    <w:rsid w:val="00B02592"/>
    <w:rsid w:val="00D516E7"/>
    <w:rsid w:val="00DB01BF"/>
    <w:rsid w:val="00E96FA2"/>
    <w:rsid w:val="00EB4E71"/>
    <w:rsid w:val="00F3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B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8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4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1643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10</cp:revision>
  <dcterms:created xsi:type="dcterms:W3CDTF">2025-03-07T06:53:00Z</dcterms:created>
  <dcterms:modified xsi:type="dcterms:W3CDTF">2025-10-08T10:47:00Z</dcterms:modified>
</cp:coreProperties>
</file>